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center"/>
      </w:pPr>
      <w:r w:rsidRPr="00FA0DA4">
        <w:t>C</w:t>
      </w:r>
      <w:r w:rsidR="005C1F8A" w:rsidRPr="00FA0DA4">
        <w:t>ase study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center"/>
      </w:pPr>
      <w:r w:rsidRPr="00FA0DA4">
        <w:t>Name: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center"/>
      </w:pPr>
      <w:r w:rsidRPr="00FA0DA4">
        <w:t>Instructor: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center"/>
      </w:pPr>
      <w:r w:rsidRPr="00FA0DA4">
        <w:t>Course: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center"/>
      </w:pPr>
      <w:r w:rsidRPr="00FA0DA4">
        <w:t>Date: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5C1F8A" w:rsidRDefault="005C1F8A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5C1F8A" w:rsidRPr="00FA0DA4" w:rsidRDefault="005C1F8A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6C6AE7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lastRenderedPageBreak/>
        <w:t>Reassignment of teachers is a critical aspect that should be undertaken with caution. It is sufficient to not</w:t>
      </w:r>
      <w:r w:rsidR="006C6AE7">
        <w:t>e that mutual consent is essential</w:t>
      </w:r>
      <w:r w:rsidRPr="00FA0DA4">
        <w:t xml:space="preserve"> in the reassignment process, that is</w:t>
      </w:r>
      <w:r w:rsidR="006C6AE7">
        <w:t>,</w:t>
      </w:r>
      <w:r w:rsidRPr="00FA0DA4">
        <w:t xml:space="preserve"> teachers should not be forced and at the same time consider how the reassignment will either be beneficial or negatively impact a group of studen</w:t>
      </w:r>
      <w:r w:rsidR="006C6AE7">
        <w:t>ts. The implication here is,</w:t>
      </w:r>
      <w:r w:rsidRPr="00FA0DA4">
        <w:t xml:space="preserve"> reassignment might occur when there is a need to ensure that teachers offer their expertise to some of the schools in non-dominant communities that are underperforming. Notably, teachers have</w:t>
      </w:r>
      <w:r w:rsidR="006C6AE7">
        <w:t xml:space="preserve"> a right to object reassignment which is</w:t>
      </w:r>
      <w:r w:rsidRPr="00FA0DA4">
        <w:t xml:space="preserve"> against their will and they can file</w:t>
      </w:r>
      <w:r w:rsidR="006C6AE7">
        <w:t xml:space="preserve"> a grievance in most districts according to </w:t>
      </w:r>
      <w:r w:rsidRPr="00FA0DA4">
        <w:t>Policy DGBA. Reassignment cann</w:t>
      </w:r>
      <w:r w:rsidR="006C6AE7">
        <w:t>ot happen as a</w:t>
      </w:r>
      <w:r w:rsidRPr="00FA0DA4">
        <w:t xml:space="preserve"> consequence of retaliation since retaliation represents a sinister motive. Notably, retaliation falls within the impermissible motive of reassignment, as it involves aspects such as race, religion and other characteristics that tend to discri</w:t>
      </w:r>
      <w:r w:rsidR="006C6AE7">
        <w:t>minate. It is imperative</w:t>
      </w:r>
      <w:r w:rsidRPr="00FA0DA4">
        <w:t xml:space="preserve"> to note that mos</w:t>
      </w:r>
      <w:r w:rsidR="006C6AE7">
        <w:t>t teachers have the right to communicate</w:t>
      </w:r>
      <w:r w:rsidRPr="00FA0DA4">
        <w:t xml:space="preserve"> their grievances, especially with regards to the working conditions in the different schools or even the general operations in schools (Hale,</w:t>
      </w:r>
      <w:r w:rsidR="005C1F8A">
        <w:t xml:space="preserve"> </w:t>
      </w:r>
      <w:r w:rsidRPr="00FA0DA4">
        <w:t>2018). Most of the District schools might retaliate, through effecting reassignment</w:t>
      </w:r>
      <w:r w:rsidR="00933DE2">
        <w:t>, against the will of teachers</w:t>
      </w:r>
      <w:r w:rsidRPr="00FA0DA4">
        <w:t xml:space="preserve">. </w:t>
      </w:r>
      <w:r w:rsidR="006C6AE7">
        <w:t>T</w:t>
      </w:r>
      <w:r w:rsidRPr="00FA0DA4">
        <w:t xml:space="preserve">eachers have the right to air their grievances </w:t>
      </w:r>
      <w:r w:rsidR="006C6AE7">
        <w:t>as long as it is in good faith represent  and they are</w:t>
      </w:r>
      <w:r w:rsidRPr="00FA0DA4">
        <w:t xml:space="preserve"> protected </w:t>
      </w:r>
      <w:r w:rsidR="006C6AE7">
        <w:t>under Title VII. Action</w:t>
      </w:r>
      <w:r w:rsidR="005C1F8A">
        <w:t>s of communicating grievances are</w:t>
      </w:r>
      <w:r w:rsidR="006C6AE7">
        <w:t xml:space="preserve"> also referred to as</w:t>
      </w:r>
      <w:r w:rsidRPr="00FA0DA4">
        <w:t xml:space="preserve"> </w:t>
      </w:r>
      <w:r w:rsidR="005C1F8A">
        <w:t>"</w:t>
      </w:r>
      <w:r w:rsidRPr="00FA0DA4">
        <w:t>protected act</w:t>
      </w:r>
      <w:r w:rsidR="005C1F8A">
        <w:t>"</w:t>
      </w:r>
      <w:r w:rsidR="006C6AE7">
        <w:t xml:space="preserve"> and </w:t>
      </w:r>
      <w:r w:rsidRPr="00FA0DA4">
        <w:t>constitutes opposition to any practice that is unlawful or employees who testify or even participate in investigation process (Cavico, &amp; Muj</w:t>
      </w:r>
      <w:r w:rsidR="006C6AE7">
        <w:t xml:space="preserve">taba, 2017). Thus, if there is no </w:t>
      </w:r>
      <w:r w:rsidRPr="00FA0DA4">
        <w:t xml:space="preserve">probable reason for reassignment teachers can sue the School District superintends. The implication is unless the complaints </w:t>
      </w:r>
      <w:r w:rsidR="006C6AE7">
        <w:t>m</w:t>
      </w:r>
      <w:r w:rsidR="005C1F8A">
        <w:t>ade by the teacher resulted in</w:t>
      </w:r>
      <w:r w:rsidR="006C6AE7">
        <w:t xml:space="preserve"> </w:t>
      </w:r>
      <w:r w:rsidRPr="00FA0DA4">
        <w:t xml:space="preserve">disruption, retaliation in the form of reassignments should not be encouraged. </w:t>
      </w:r>
      <w:r w:rsidR="00151706">
        <w:t>T</w:t>
      </w:r>
      <w:r w:rsidRPr="00FA0DA4">
        <w:t xml:space="preserve">his policy should be in place to protect teachers against reassignment with sinister motive such as retaliation. Finally, the policy should be in place also because there are other </w:t>
      </w:r>
      <w:r w:rsidRPr="00FA0DA4">
        <w:lastRenderedPageBreak/>
        <w:t>legal provisions such as the Equal Employment Act, that warns against discrimination of employees based on any characteristics.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Although sometimes reassignments are involuntary, School District Superintendent might use it as a chance to punish teachers who are against some of the activities that happen in learning institutions. Thus, inhibit</w:t>
      </w:r>
      <w:r w:rsidR="006C6AE7">
        <w:t>s</w:t>
      </w:r>
      <w:r w:rsidRPr="00FA0DA4">
        <w:t xml:space="preserve"> changes</w:t>
      </w:r>
      <w:r w:rsidR="006C6AE7">
        <w:t xml:space="preserve"> proposed by teachers and</w:t>
      </w:r>
      <w:r w:rsidRPr="00FA0DA4">
        <w:t xml:space="preserve"> that might be effective especially from the teachers who understand the felt needs of students in particular learning institutions. Even in the event of involuntary reassignments, a rationale should be provided by the District Superintendent and teachers are always allowed to give their rationale of why they object the involuntary transfer. </w:t>
      </w:r>
      <w:r w:rsidR="001270E0">
        <w:t xml:space="preserve">The </w:t>
      </w:r>
      <w:r w:rsidRPr="00FA0DA4">
        <w:t xml:space="preserve">policy will </w:t>
      </w:r>
      <w:r w:rsidR="001270E0">
        <w:t xml:space="preserve">help avert </w:t>
      </w:r>
      <w:r w:rsidRPr="00FA0DA4">
        <w:t>involuntary transfers imposed by the District Superintendent or their assistants with the motive being only to retaliate against the individual teachers</w:t>
      </w:r>
      <w:r w:rsidR="005C1F8A">
        <w:t xml:space="preserve"> </w:t>
      </w:r>
      <w:r w:rsidR="005C1F8A" w:rsidRPr="00FA0DA4">
        <w:t>(Hale,</w:t>
      </w:r>
      <w:r w:rsidR="005C1F8A">
        <w:t xml:space="preserve"> </w:t>
      </w:r>
      <w:r w:rsidR="005C1F8A" w:rsidRPr="00FA0DA4">
        <w:t>2018</w:t>
      </w:r>
      <w:r w:rsidR="005C1F8A">
        <w:t>)</w:t>
      </w:r>
      <w:r w:rsidRPr="00FA0DA4">
        <w:t xml:space="preserve">. Apart from the involuntary reassignments, there is also an aspect of voluntary </w:t>
      </w:r>
      <w:r w:rsidR="001270E0">
        <w:t>re</w:t>
      </w:r>
      <w:r w:rsidRPr="00FA0DA4">
        <w:t>assignments which is based on mutual consent on teachers seeking the reassignment by themselves. There is usually a bargaining unit that might help advance the preferences of teachers especially those seeking a voluntary reassignment. Thus, with the retaliation policy in place, teachers can implement the reassignments according to their preferences.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  <w:r w:rsidRPr="00FA0DA4">
        <w:t> </w:t>
      </w:r>
    </w:p>
    <w:p w:rsidR="001270E0" w:rsidRDefault="001270E0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5C1F8A" w:rsidRDefault="005C1F8A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both"/>
      </w:pP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firstLine="720"/>
        <w:jc w:val="center"/>
      </w:pPr>
      <w:r w:rsidRPr="00FA0DA4">
        <w:lastRenderedPageBreak/>
        <w:t>Reference</w:t>
      </w:r>
      <w:r>
        <w:t>s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FA0DA4">
        <w:t>Cavico, F. J., &amp; Mujtaba, B. G. (2017). The Retaliation Doctrine Under Title VII of US Civil Rights Law: A Primer for Managers and Employees. </w:t>
      </w:r>
      <w:r w:rsidRPr="00FA0DA4">
        <w:rPr>
          <w:rStyle w:val="Emphasis"/>
        </w:rPr>
        <w:t>SAM Advanced Management Journal (07497075)</w:t>
      </w:r>
      <w:r w:rsidRPr="00FA0DA4">
        <w:t>, </w:t>
      </w:r>
      <w:r w:rsidRPr="00FA0DA4">
        <w:rPr>
          <w:rStyle w:val="Emphasis"/>
        </w:rPr>
        <w:t>82</w:t>
      </w:r>
      <w:r w:rsidRPr="00FA0DA4">
        <w:t>(3).</w:t>
      </w:r>
    </w:p>
    <w:p w:rsidR="00FA0DA4" w:rsidRPr="00FA0DA4" w:rsidRDefault="00FA0DA4" w:rsidP="00FA0DA4">
      <w:pPr>
        <w:pStyle w:val="NormalWeb"/>
        <w:spacing w:before="0" w:beforeAutospacing="0" w:after="0" w:afterAutospacing="0" w:line="480" w:lineRule="auto"/>
        <w:ind w:left="720" w:hanging="720"/>
        <w:jc w:val="both"/>
      </w:pPr>
      <w:r w:rsidRPr="00FA0DA4">
        <w:t>Hale, J. N. (2018). On Race, Teacher Activism, and the Right to Work: Historicizing the Red for Ed Movement in the American South. </w:t>
      </w:r>
      <w:r w:rsidRPr="00FA0DA4">
        <w:rPr>
          <w:rStyle w:val="Emphasis"/>
        </w:rPr>
        <w:t>W. Va. L. Rev.</w:t>
      </w:r>
      <w:r w:rsidRPr="00FA0DA4">
        <w:t>, </w:t>
      </w:r>
      <w:r w:rsidRPr="00FA0DA4">
        <w:rPr>
          <w:rStyle w:val="Emphasis"/>
        </w:rPr>
        <w:t>121</w:t>
      </w:r>
      <w:r w:rsidRPr="00FA0DA4">
        <w:t>, 851.</w:t>
      </w:r>
    </w:p>
    <w:p w:rsidR="00A008B2" w:rsidRPr="00FA0DA4" w:rsidRDefault="00A008B2" w:rsidP="00FA0DA4">
      <w:pPr>
        <w:spacing w:line="480" w:lineRule="auto"/>
        <w:ind w:firstLine="720"/>
        <w:jc w:val="both"/>
      </w:pPr>
    </w:p>
    <w:sectPr w:rsidR="00A008B2" w:rsidRPr="00FA0DA4" w:rsidSect="004C6CA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C3D" w:rsidRDefault="00A55C3D" w:rsidP="004C6CA3">
      <w:pPr>
        <w:spacing w:after="0" w:line="240" w:lineRule="auto"/>
      </w:pPr>
      <w:r>
        <w:separator/>
      </w:r>
    </w:p>
  </w:endnote>
  <w:endnote w:type="continuationSeparator" w:id="1">
    <w:p w:rsidR="00A55C3D" w:rsidRDefault="00A55C3D" w:rsidP="004C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C3D" w:rsidRDefault="00A55C3D" w:rsidP="004C6CA3">
      <w:pPr>
        <w:spacing w:after="0" w:line="240" w:lineRule="auto"/>
      </w:pPr>
      <w:r>
        <w:separator/>
      </w:r>
    </w:p>
  </w:footnote>
  <w:footnote w:type="continuationSeparator" w:id="1">
    <w:p w:rsidR="00A55C3D" w:rsidRDefault="00A55C3D" w:rsidP="004C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A3" w:rsidRPr="003713D2" w:rsidRDefault="004C6CA3" w:rsidP="003713D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713D2">
      <w:rPr>
        <w:rFonts w:ascii="Times New Roman" w:hAnsi="Times New Roman" w:cs="Times New Roman"/>
        <w:sz w:val="24"/>
        <w:szCs w:val="24"/>
      </w:rPr>
      <w:t xml:space="preserve">CASE STUDY                      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8645351"/>
        <w:docPartObj>
          <w:docPartGallery w:val="Page Numbers (Top of Page)"/>
          <w:docPartUnique/>
        </w:docPartObj>
      </w:sdtPr>
      <w:sdtContent>
        <w:r w:rsidR="00830DBC" w:rsidRPr="003713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30DBC" w:rsidRPr="003713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30DBC" w:rsidRPr="003713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1F8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830DBC" w:rsidRPr="003713D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A3" w:rsidRPr="003713D2" w:rsidRDefault="004C6CA3" w:rsidP="003713D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C6CA3">
      <w:rPr>
        <w:rFonts w:ascii="Times New Roman" w:hAnsi="Times New Roman" w:cs="Times New Roman"/>
        <w:sz w:val="24"/>
        <w:szCs w:val="24"/>
      </w:rPr>
      <w:t xml:space="preserve">Running Head: CASE STUDY </w:t>
    </w:r>
    <w:sdt>
      <w:sdtPr>
        <w:rPr>
          <w:rFonts w:ascii="Times New Roman" w:hAnsi="Times New Roman" w:cs="Times New Roman"/>
          <w:sz w:val="24"/>
          <w:szCs w:val="24"/>
        </w:rPr>
        <w:id w:val="18645329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 w:rsidR="00830DBC" w:rsidRPr="004C6C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6C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30DBC" w:rsidRPr="004C6C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1F8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30DBC" w:rsidRPr="004C6CA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35DD"/>
    <w:rsid w:val="001270E0"/>
    <w:rsid w:val="00151706"/>
    <w:rsid w:val="001B1372"/>
    <w:rsid w:val="003427F8"/>
    <w:rsid w:val="003435A6"/>
    <w:rsid w:val="003713D2"/>
    <w:rsid w:val="0039589A"/>
    <w:rsid w:val="004C6CA3"/>
    <w:rsid w:val="00525D96"/>
    <w:rsid w:val="005A1653"/>
    <w:rsid w:val="005B62BD"/>
    <w:rsid w:val="005B76B7"/>
    <w:rsid w:val="005C1F8A"/>
    <w:rsid w:val="006B4959"/>
    <w:rsid w:val="006C3DCD"/>
    <w:rsid w:val="006C6AE7"/>
    <w:rsid w:val="007A3DB0"/>
    <w:rsid w:val="00830DBC"/>
    <w:rsid w:val="00933DE2"/>
    <w:rsid w:val="00A008B2"/>
    <w:rsid w:val="00A55C3D"/>
    <w:rsid w:val="00AA35DD"/>
    <w:rsid w:val="00AA5DB5"/>
    <w:rsid w:val="00C02728"/>
    <w:rsid w:val="00D7138B"/>
    <w:rsid w:val="00EB15B9"/>
    <w:rsid w:val="00F836EB"/>
    <w:rsid w:val="00FA0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light-blue">
    <w:name w:val="txt-light-blue"/>
    <w:basedOn w:val="DefaultParagraphFont"/>
    <w:rsid w:val="00AA35DD"/>
  </w:style>
  <w:style w:type="paragraph" w:styleId="Header">
    <w:name w:val="header"/>
    <w:basedOn w:val="Normal"/>
    <w:link w:val="HeaderChar"/>
    <w:uiPriority w:val="99"/>
    <w:unhideWhenUsed/>
    <w:rsid w:val="004C6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CA3"/>
  </w:style>
  <w:style w:type="paragraph" w:styleId="Footer">
    <w:name w:val="footer"/>
    <w:basedOn w:val="Normal"/>
    <w:link w:val="FooterChar"/>
    <w:uiPriority w:val="99"/>
    <w:semiHidden/>
    <w:unhideWhenUsed/>
    <w:rsid w:val="004C6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6CA3"/>
  </w:style>
  <w:style w:type="paragraph" w:styleId="NormalWeb">
    <w:name w:val="Normal (Web)"/>
    <w:basedOn w:val="Normal"/>
    <w:uiPriority w:val="99"/>
    <w:semiHidden/>
    <w:unhideWhenUsed/>
    <w:rsid w:val="00FA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A0DA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3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3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kelvinjacks</dc:creator>
  <cp:lastModifiedBy>kelvinjacks</cp:lastModifiedBy>
  <cp:revision>2</cp:revision>
  <dcterms:created xsi:type="dcterms:W3CDTF">2019-08-19T15:54:00Z</dcterms:created>
  <dcterms:modified xsi:type="dcterms:W3CDTF">2019-08-19T15:54:00Z</dcterms:modified>
</cp:coreProperties>
</file>